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631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1A247B" w:rsidRPr="00A012FF" w:rsidTr="00C8522C">
        <w:trPr>
          <w:trHeight w:hRule="exact" w:val="17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A012FF" w:rsidP="00A012FF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21CFEFBE" wp14:editId="412D06FE">
                  <wp:extent cx="1095375" cy="1128873"/>
                  <wp:effectExtent l="19050" t="0" r="952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5E48BC" w:rsidRDefault="00E85677" w:rsidP="005E4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ECZACILIK </w:t>
            </w:r>
            <w:r w:rsidR="005E48BC">
              <w:rPr>
                <w:rFonts w:ascii="Times New Roman" w:hAnsi="Times New Roman" w:cs="Times New Roman"/>
                <w:b/>
                <w:sz w:val="28"/>
                <w:szCs w:val="28"/>
              </w:rPr>
              <w:t>FAKÜLTESİ DEKANLIĞI</w:t>
            </w:r>
          </w:p>
          <w:p w:rsidR="001A247B" w:rsidRPr="00A012FF" w:rsidRDefault="00A012FF" w:rsidP="00A012FF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1A247B" w:rsidRPr="00A012FF" w:rsidTr="004D094E">
        <w:trPr>
          <w:trHeight w:hRule="exact" w:val="29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4D094E" w:rsidP="00164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A22A03" w:rsidP="0016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Veysel TETİK</w:t>
            </w:r>
            <w:bookmarkStart w:id="0" w:name="_GoBack"/>
            <w:bookmarkEnd w:id="0"/>
          </w:p>
        </w:tc>
      </w:tr>
      <w:tr w:rsidR="004D094E" w:rsidRPr="00A012FF" w:rsidTr="004D094E">
        <w:trPr>
          <w:trHeight w:hRule="exact" w:val="282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94E" w:rsidRPr="00A012FF" w:rsidRDefault="004D094E" w:rsidP="004D094E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156BA9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94E" w:rsidRPr="00A012FF" w:rsidRDefault="004D094E" w:rsidP="004D0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Tahakkuk</w:t>
            </w:r>
            <w:r w:rsidR="00CC46EB">
              <w:rPr>
                <w:rFonts w:ascii="Times New Roman" w:hAnsi="Times New Roman" w:cs="Times New Roman"/>
                <w:sz w:val="22"/>
                <w:szCs w:val="22"/>
              </w:rPr>
              <w:t>-Satın Alma</w:t>
            </w:r>
          </w:p>
        </w:tc>
      </w:tr>
      <w:tr w:rsidR="001A247B" w:rsidRPr="00A012FF" w:rsidTr="00F150A7">
        <w:trPr>
          <w:trHeight w:hRule="exact" w:val="27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164103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E85677" w:rsidP="0016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Eczacılık </w:t>
            </w:r>
            <w:r w:rsidR="00912F77">
              <w:rPr>
                <w:rFonts w:ascii="Times New Roman" w:hAnsi="Times New Roman" w:cs="Times New Roman"/>
                <w:sz w:val="22"/>
                <w:szCs w:val="22"/>
              </w:rPr>
              <w:t>Fakültesi Dekanlığı</w:t>
            </w:r>
          </w:p>
        </w:tc>
      </w:tr>
      <w:tr w:rsidR="001A247B" w:rsidRPr="00A012FF" w:rsidTr="00F150A7">
        <w:trPr>
          <w:trHeight w:hRule="exact" w:val="240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1E67A9" w:rsidP="00EC0D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birimleri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tarafından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belirlenen amaç, ilke ve talimatlara uygun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olarak;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>Fakültemizdeki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bütün birimlerin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 personeline ait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maaş değişikliklerini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 Merkezi Tahakkuka bildirmek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hesaplanan ve onaylanan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maaşları,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Strateji Geliştirme Başkanlığına teslim etmek, Fakültenin Akademik ve İdari personelinin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>sürekli görev yolluğu, geçici görev yolluğu ve sosyal haklar gibi ödemelerini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12F77">
              <w:rPr>
                <w:rFonts w:ascii="Times New Roman" w:hAnsi="Times New Roman" w:cs="Times New Roman"/>
                <w:sz w:val="22"/>
                <w:szCs w:val="22"/>
              </w:rPr>
              <w:t xml:space="preserve">Ek Ders ödemelerini,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>doğrudan temin usulüne göre alınan hizmet, mal ve malzemelerin ödemelerini etkinlik, v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>erimlilik ilkelerine</w:t>
            </w:r>
            <w:r w:rsidR="0016410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diğer malî 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evzuat hükümlerine uygunluğu ve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kaynakların etkili, ekonomik ve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erimli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 xml:space="preserve">k ilkelerine uygun olarak </w:t>
            </w:r>
            <w:r w:rsidR="00EC0D5A">
              <w:rPr>
                <w:rFonts w:ascii="Times New Roman" w:hAnsi="Times New Roman" w:cs="Times New Roman"/>
                <w:sz w:val="22"/>
                <w:szCs w:val="22"/>
              </w:rPr>
              <w:t xml:space="preserve">yapmak 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>yürütmek,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koordine etmek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247B" w:rsidRPr="00A012FF" w:rsidTr="00F150A7">
        <w:trPr>
          <w:trHeight w:hRule="exact" w:val="275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1A247B" w:rsidRPr="00A012FF" w:rsidTr="004D094E">
        <w:trPr>
          <w:trHeight w:hRule="exact" w:val="9515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5018 sayılı Kamu Mali Yönetimi ve Kontrol Kanununun 60’ıncı maddesi kapsamında, Strateji Geliştirme Daire Başkanlığının kontrol ve koordinesinde, 2547 sayılı Yüksek Öğretim Kanunu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, 2914 sayılı Yükseköğretim Personel Kanunu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657 sayılı Devlet Memurları Kanununa bağlı olarak görev yapan personelin maaş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tahakkuklarını hazırlayıp maaşlarını</w:t>
            </w:r>
            <w:r w:rsidR="00697CC4">
              <w:rPr>
                <w:rFonts w:ascii="Times New Roman" w:hAnsi="Times New Roman" w:cs="Times New Roman"/>
                <w:sz w:val="22"/>
                <w:szCs w:val="22"/>
              </w:rPr>
              <w:t xml:space="preserve"> alabilecekleri düzeye getirmek,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Personel Daire Başkanlığından almış olduğu özlük bilgileri ile diğer müdürlüklerden almış olduğu tahakkuk bilgileri doğ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rultusunda maaş, fazla çalışma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bordrolarını düzenlemek</w:t>
            </w:r>
            <w:r w:rsidR="00697CC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Maaş tahakkukları düzenlenen akademik ve idari personelin aylık Sosyal Güvenlik Kesintilerini düzenleyerek elektronik ortamda Sosyal Güvenlik K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urumuna gönderilmesini sağlamak,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Fakülte personelinden geçici görev oluru ile görevlendirilen personelin geçici görev </w:t>
            </w:r>
            <w:r w:rsidR="006D5C7F">
              <w:rPr>
                <w:rFonts w:ascii="Times New Roman" w:hAnsi="Times New Roman" w:cs="Times New Roman"/>
                <w:sz w:val="22"/>
                <w:szCs w:val="22"/>
              </w:rPr>
              <w:t>yolluklarını h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azırlayarak ödenmesini sağlamak,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 xml:space="preserve">Fakülte de yapılacak 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her türlü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harcamaların evraklarını hazırlayıp muhasebeye iletmek,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Harcamalar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a ilgili gerekli dosyaları tutmak,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Ödemelerin kanun ve yönetmelikler doğrultusunda, zamanında yapılmasına dikkat etmek,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gereksiz ve hatalı ödeme yapılmamasına özen göstermek,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 yapılmak üzere gönderilen evrakları incelemek, hatalı olanları geri göndermek,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Görevden ayrılan, göreve başlayan, izinli, raporlu ya da geçici görevli personelin takip edilerek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kendilerine hatalı ödeme yapılmasını önlemek,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Ek ders ödemeleri ile ilgili, bölümlerin ya da öğretim elemanlarının vermesi gereken belgeleri takip etmek, vermeyenleri uyarmak, ödeme yapılması konusunda gecikmeye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sebep olabilecekleri amirlerine bildirmek,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Tahakkukla ilgili bilgilerin sürekli yedeklenmesini sağlamak,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Ödemelerle ilgili arşivleme çalışmalarını yapmak,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Amirlerin bilgisi olmadan yapılan ya da yapılacak ödemeler konusunda ilgisiz kişilere bilgi ve belge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verilmesini önlemek,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Personele ait bilgileri sürekli güncel tutarak Sosyal Güvenlik Kurumu’na aktarmak,</w:t>
            </w:r>
          </w:p>
          <w:p w:rsidR="004D094E" w:rsidRDefault="00697CC4" w:rsidP="004D094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Fakültenin etik kurallarına uymak, iç kontrol faaliyetlerini desteklemek</w:t>
            </w:r>
          </w:p>
          <w:p w:rsidR="00697CC4" w:rsidRPr="004D094E" w:rsidRDefault="00697CC4" w:rsidP="004D094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094E">
              <w:rPr>
                <w:rFonts w:ascii="Times New Roman" w:hAnsi="Times New Roman" w:cs="Times New Roman"/>
                <w:sz w:val="22"/>
                <w:szCs w:val="22"/>
              </w:rPr>
              <w:t>Savurganlıktan kaçınmak, gizliliğe riayet etmek,</w:t>
            </w:r>
          </w:p>
          <w:p w:rsidR="00697CC4" w:rsidRPr="003E4E19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Görev süresince gizlilik, doğruluk, çabukluk ve güvenirlik ilkelerinden ayrılmamak</w:t>
            </w:r>
            <w:r w:rsidR="00D96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Personellere ait her türlü bilgi ve belgeyi koruyarak, ilgisiz kişilerin eline geçmesini önlemek</w:t>
            </w:r>
            <w:r w:rsidR="00D96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7CC4" w:rsidRPr="00A012FF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Fakülte Sekreteri’nin vereceği diğer görevleri yapmak.</w:t>
            </w:r>
          </w:p>
        </w:tc>
      </w:tr>
      <w:tr w:rsidR="001A247B" w:rsidRPr="00A012FF" w:rsidTr="009D592B">
        <w:trPr>
          <w:trHeight w:hRule="exact" w:val="85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CF1663" w:rsidP="00C852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Sekreterliği, Personel ve Özlük İşleri, Satın Alma Birimi,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ölümler Sekreterliği, 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Strateji Geliştirme Dairesi Başkanlığı, Personel Daire Başkanlı</w:t>
            </w:r>
            <w:r w:rsidR="00E63BEF">
              <w:rPr>
                <w:rFonts w:ascii="Times New Roman" w:hAnsi="Times New Roman" w:cs="Times New Roman"/>
                <w:sz w:val="22"/>
                <w:szCs w:val="22"/>
              </w:rPr>
              <w:t>ğı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 xml:space="preserve"> ve Üniversitemizin </w:t>
            </w:r>
            <w:r w:rsidR="00C8522C">
              <w:rPr>
                <w:rFonts w:ascii="Times New Roman" w:hAnsi="Times New Roman" w:cs="Times New Roman"/>
                <w:sz w:val="22"/>
                <w:szCs w:val="22"/>
              </w:rPr>
              <w:t>diğer b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:rsidR="001A247B" w:rsidRPr="00A012FF" w:rsidRDefault="001A247B" w:rsidP="00A012FF">
      <w:pPr>
        <w:rPr>
          <w:rFonts w:ascii="Times New Roman" w:hAnsi="Times New Roman" w:cs="Times New Roman"/>
        </w:rPr>
      </w:pPr>
    </w:p>
    <w:sectPr w:rsidR="001A247B" w:rsidRPr="00A012FF" w:rsidSect="001A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5D" w:rsidRDefault="009D025D" w:rsidP="001A247B">
      <w:r>
        <w:separator/>
      </w:r>
    </w:p>
  </w:endnote>
  <w:endnote w:type="continuationSeparator" w:id="0">
    <w:p w:rsidR="009D025D" w:rsidRDefault="009D025D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5D" w:rsidRDefault="009D025D"/>
  </w:footnote>
  <w:footnote w:type="continuationSeparator" w:id="0">
    <w:p w:rsidR="009D025D" w:rsidRDefault="009D02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 w15:restartNumberingAfterBreak="0">
    <w:nsid w:val="2FB85089"/>
    <w:multiLevelType w:val="hybridMultilevel"/>
    <w:tmpl w:val="2FA4F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241C"/>
    <w:multiLevelType w:val="hybridMultilevel"/>
    <w:tmpl w:val="E820C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47B"/>
    <w:rsid w:val="00017708"/>
    <w:rsid w:val="0002645B"/>
    <w:rsid w:val="000C560D"/>
    <w:rsid w:val="00107E17"/>
    <w:rsid w:val="00124B3E"/>
    <w:rsid w:val="00156BA9"/>
    <w:rsid w:val="00164103"/>
    <w:rsid w:val="001A247B"/>
    <w:rsid w:val="001E67A9"/>
    <w:rsid w:val="00224595"/>
    <w:rsid w:val="00240394"/>
    <w:rsid w:val="00273976"/>
    <w:rsid w:val="003244E3"/>
    <w:rsid w:val="00330FDE"/>
    <w:rsid w:val="003E4E19"/>
    <w:rsid w:val="00482E6F"/>
    <w:rsid w:val="004D094E"/>
    <w:rsid w:val="005266F4"/>
    <w:rsid w:val="00575A19"/>
    <w:rsid w:val="005A28BF"/>
    <w:rsid w:val="005B69FF"/>
    <w:rsid w:val="005D2056"/>
    <w:rsid w:val="005E48BC"/>
    <w:rsid w:val="00610140"/>
    <w:rsid w:val="0062047E"/>
    <w:rsid w:val="00697CC4"/>
    <w:rsid w:val="006C5756"/>
    <w:rsid w:val="006C71A5"/>
    <w:rsid w:val="006D5C7F"/>
    <w:rsid w:val="00713B80"/>
    <w:rsid w:val="007C3104"/>
    <w:rsid w:val="007F2B55"/>
    <w:rsid w:val="007F5487"/>
    <w:rsid w:val="00912F77"/>
    <w:rsid w:val="009B0671"/>
    <w:rsid w:val="009D025D"/>
    <w:rsid w:val="009D592B"/>
    <w:rsid w:val="00A012FF"/>
    <w:rsid w:val="00A22A03"/>
    <w:rsid w:val="00A6614E"/>
    <w:rsid w:val="00B37C57"/>
    <w:rsid w:val="00BA7987"/>
    <w:rsid w:val="00C216BD"/>
    <w:rsid w:val="00C8522C"/>
    <w:rsid w:val="00CC46EB"/>
    <w:rsid w:val="00CD3830"/>
    <w:rsid w:val="00CF1663"/>
    <w:rsid w:val="00D509A2"/>
    <w:rsid w:val="00D96B40"/>
    <w:rsid w:val="00DA24BD"/>
    <w:rsid w:val="00E63BEF"/>
    <w:rsid w:val="00E85677"/>
    <w:rsid w:val="00EC0D5A"/>
    <w:rsid w:val="00F150A7"/>
    <w:rsid w:val="00F54132"/>
    <w:rsid w:val="00F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7BD4"/>
  <w15:docId w15:val="{4534CB36-75E9-4004-9088-2789F53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2990</Characters>
  <Application>Microsoft Office Word</Application>
  <DocSecurity>0</DocSecurity>
  <Lines>57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aggul</cp:lastModifiedBy>
  <cp:revision>3</cp:revision>
  <cp:lastPrinted>2014-11-24T11:15:00Z</cp:lastPrinted>
  <dcterms:created xsi:type="dcterms:W3CDTF">2019-10-21T10:58:00Z</dcterms:created>
  <dcterms:modified xsi:type="dcterms:W3CDTF">2022-10-17T15:04:00Z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229cceef5742e17a12b5945e01f2a1c3aacef667fe0f7da5ebbc6437a1032101</vt:lpwstr>
  </property>
</Properties>
</file>